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4E" w:rsidRDefault="006A73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E2273">
        <w:rPr>
          <w:rFonts w:ascii="Times New Roman" w:hAnsi="Times New Roman" w:cs="Times New Roman"/>
          <w:sz w:val="28"/>
          <w:szCs w:val="28"/>
        </w:rPr>
        <w:t xml:space="preserve"> №</w:t>
      </w:r>
      <w:r w:rsidR="00A90DD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90DDD" w:rsidRDefault="00A90D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90DDD" w:rsidRDefault="00A90D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A90DDD" w:rsidRPr="00D2014D" w:rsidRDefault="00A90D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мая 2017 года № ____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>
        <w:rPr>
          <w:rFonts w:ascii="Times New Roman" w:hAnsi="Times New Roman" w:cs="Times New Roman"/>
          <w:sz w:val="28"/>
          <w:szCs w:val="28"/>
        </w:rPr>
        <w:t>М</w:t>
      </w:r>
      <w:r w:rsidRPr="00D2014D">
        <w:rPr>
          <w:rFonts w:ascii="Times New Roman" w:hAnsi="Times New Roman" w:cs="Times New Roman"/>
          <w:sz w:val="28"/>
          <w:szCs w:val="28"/>
        </w:rPr>
        <w:t>етодика</w:t>
      </w:r>
    </w:p>
    <w:p w:rsidR="00A90DDD" w:rsidRPr="00D2014D" w:rsidRDefault="00A90DDD" w:rsidP="00A90D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</w:t>
      </w:r>
    </w:p>
    <w:p w:rsidR="00A90DDD" w:rsidRPr="00D2014D" w:rsidRDefault="00A90DDD" w:rsidP="00A90D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>,</w:t>
      </w:r>
    </w:p>
    <w:p w:rsidR="00A90DDD" w:rsidRPr="00D2014D" w:rsidRDefault="00A90DDD" w:rsidP="00A90D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 xml:space="preserve"> которых является</w:t>
      </w:r>
    </w:p>
    <w:p w:rsidR="00A90DDD" w:rsidRPr="00D2014D" w:rsidRDefault="00A90DDD" w:rsidP="00A90D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A90DDD" w:rsidRDefault="00A90DDD" w:rsidP="006A73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734E" w:rsidRPr="006A734E" w:rsidRDefault="006A734E" w:rsidP="006A73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ОБЩИЕ ТРЕБОВАНИЯ</w:t>
      </w:r>
    </w:p>
    <w:p w:rsidR="006A734E" w:rsidRDefault="006A734E" w:rsidP="006A73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К МЕТОДИКЕ ПРОГНОЗИРОВАНИЯ ПОСТУПЛЕНИЙ ДОХОДОВ 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34E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proofErr w:type="gramStart"/>
      <w:r w:rsidRPr="006A734E">
        <w:rPr>
          <w:rFonts w:ascii="Times New Roman" w:hAnsi="Times New Roman" w:cs="Times New Roman"/>
          <w:b w:val="0"/>
          <w:sz w:val="28"/>
          <w:szCs w:val="28"/>
        </w:rPr>
        <w:t>ОКРУГА</w:t>
      </w:r>
      <w:proofErr w:type="gramEnd"/>
      <w:r w:rsidRPr="006A734E">
        <w:rPr>
          <w:rFonts w:ascii="Times New Roman" w:hAnsi="Times New Roman" w:cs="Times New Roman"/>
          <w:b w:val="0"/>
          <w:sz w:val="28"/>
          <w:szCs w:val="28"/>
        </w:rPr>
        <w:t xml:space="preserve"> ЗАТО СВОБОДНЫЙ, ГЛАВНЫМ АДМИНИСТРАТОРОМ КОТОРЫХ ЯВЛЯЕТСЯ АДМИНИСТРАЦИЯ ГОРОДСКОГО ОКРУГА ЗАТО СВОБОДНЫЙ</w:t>
      </w:r>
    </w:p>
    <w:p w:rsidR="006A734E" w:rsidRPr="006A734E" w:rsidRDefault="006A734E" w:rsidP="006A73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734E" w:rsidRPr="006A734E" w:rsidRDefault="006A734E" w:rsidP="006A73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 xml:space="preserve">1. Настоящий документ устанавливает общие требования к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A734E">
        <w:rPr>
          <w:rFonts w:ascii="Times New Roman" w:hAnsi="Times New Roman" w:cs="Times New Roman"/>
          <w:b w:val="0"/>
          <w:sz w:val="28"/>
          <w:szCs w:val="28"/>
        </w:rPr>
        <w:t xml:space="preserve">етодике прогнозирования поступлений доходов в бюджет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Свободный</w:t>
      </w:r>
      <w:r w:rsidRPr="006A734E">
        <w:rPr>
          <w:rFonts w:ascii="Times New Roman" w:hAnsi="Times New Roman" w:cs="Times New Roman"/>
          <w:b w:val="0"/>
          <w:sz w:val="28"/>
          <w:szCs w:val="28"/>
        </w:rPr>
        <w:t>, разрабатываемой и утверждаемой главным администратор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A734E">
        <w:rPr>
          <w:rFonts w:ascii="Times New Roman" w:hAnsi="Times New Roman" w:cs="Times New Roman"/>
          <w:b w:val="0"/>
          <w:sz w:val="28"/>
          <w:szCs w:val="28"/>
        </w:rPr>
        <w:t xml:space="preserve">м доходов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городского округа </w:t>
      </w:r>
      <w:r w:rsidRPr="006A734E">
        <w:rPr>
          <w:rFonts w:ascii="Times New Roman" w:hAnsi="Times New Roman" w:cs="Times New Roman"/>
          <w:b w:val="0"/>
          <w:sz w:val="28"/>
          <w:szCs w:val="28"/>
        </w:rPr>
        <w:t>(далее соответственно - доход, главный администратор доходов, методика прогнозирования).</w:t>
      </w:r>
    </w:p>
    <w:p w:rsidR="006A734E" w:rsidRPr="006A734E" w:rsidRDefault="006A734E" w:rsidP="006A73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2. 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6A734E" w:rsidRPr="006A734E" w:rsidRDefault="006A734E" w:rsidP="006A73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3. Методика прогнозирования разрабатывается по каждому виду доходов и содержит: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 xml:space="preserve">усреднение - расчет на основании </w:t>
      </w:r>
      <w:proofErr w:type="gramStart"/>
      <w:r w:rsidRPr="006A734E">
        <w:rPr>
          <w:rFonts w:ascii="Times New Roman" w:hAnsi="Times New Roman" w:cs="Times New Roman"/>
          <w:b w:val="0"/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 w:rsidRPr="006A734E">
        <w:rPr>
          <w:rFonts w:ascii="Times New Roman" w:hAnsi="Times New Roman" w:cs="Times New Roman"/>
          <w:b w:val="0"/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6A734E">
        <w:rPr>
          <w:rFonts w:ascii="Times New Roman" w:hAnsi="Times New Roman" w:cs="Times New Roman"/>
          <w:b w:val="0"/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Pr="006A734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lastRenderedPageBreak/>
        <w:t>иной способ, который должен быть описан и обоснован в методике прогнозирования;</w:t>
      </w:r>
    </w:p>
    <w:p w:rsidR="006A734E" w:rsidRPr="006A734E" w:rsidRDefault="006A734E" w:rsidP="00E769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 xml:space="preserve">г) описание фактического алгоритма расчета прогнозируемого объема поступлений в бюджет </w:t>
      </w:r>
      <w:r w:rsidR="00E76967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6A734E" w:rsidRPr="006A734E" w:rsidRDefault="006A734E" w:rsidP="00E769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4.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6A734E" w:rsidRPr="006A734E" w:rsidRDefault="006A734E" w:rsidP="00E769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 xml:space="preserve">5.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варианта прогноза социально-экономического развития </w:t>
      </w:r>
      <w:r w:rsidR="00E7696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6A734E">
        <w:rPr>
          <w:rFonts w:ascii="Times New Roman" w:hAnsi="Times New Roman" w:cs="Times New Roman"/>
          <w:b w:val="0"/>
          <w:sz w:val="28"/>
          <w:szCs w:val="28"/>
        </w:rPr>
        <w:t xml:space="preserve">на среднесрочный период, разработанного администрацией </w:t>
      </w:r>
      <w:r w:rsidR="00E7696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6A734E">
        <w:rPr>
          <w:rFonts w:ascii="Times New Roman" w:hAnsi="Times New Roman" w:cs="Times New Roman"/>
          <w:b w:val="0"/>
          <w:sz w:val="28"/>
          <w:szCs w:val="28"/>
        </w:rPr>
        <w:t>(далее - показатели прогноза социально-экономического развития).</w:t>
      </w:r>
    </w:p>
    <w:p w:rsidR="006A734E" w:rsidRPr="006A734E" w:rsidRDefault="006A734E" w:rsidP="00E769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6. Для расчета прогнозируемого объема налоговых доходов, таможенных платежей и страховых взносов при разработке методики прогнозирования: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а) применяется метод прямого расчета;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 xml:space="preserve">б) налоговая база и база для расчета таможенных платежей, страховых взносов в прогнозируемом периоде определяются на основании соответствующей отчетности за предыдущие годы с учетом показателей прогноза социально-экономического развития и иной информации, указанной главным администратором доходов согласно подпункту "б" пункта 3 настоящего </w:t>
      </w:r>
      <w:r w:rsidR="00E76967">
        <w:rPr>
          <w:rFonts w:ascii="Times New Roman" w:hAnsi="Times New Roman" w:cs="Times New Roman"/>
          <w:b w:val="0"/>
          <w:sz w:val="28"/>
          <w:szCs w:val="28"/>
        </w:rPr>
        <w:t>раздела</w:t>
      </w:r>
      <w:r w:rsidRPr="006A734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в) учитывается информация о ставках платежей с указанием соответствующей нормы законодательства Российской Федерации о налогах и сборах или иных нормативных правовых актов Российской Федерации, субъектов Российской Федерации и представительных органов муниципальных образований;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 xml:space="preserve">г) 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льгот, освобождений и иных преференций с указанием соответствующих норм законодательства Российской Федерации. Расчет выпадающих доходов осуществляется с использованием методов (комбинации методов), указанных в подпункте "в" пункта 3 настоящего </w:t>
      </w:r>
      <w:r w:rsidR="00E76967">
        <w:rPr>
          <w:rFonts w:ascii="Times New Roman" w:hAnsi="Times New Roman" w:cs="Times New Roman"/>
          <w:b w:val="0"/>
          <w:sz w:val="28"/>
          <w:szCs w:val="28"/>
        </w:rPr>
        <w:t>раздела</w:t>
      </w:r>
      <w:r w:rsidRPr="006A734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734E" w:rsidRPr="006A734E" w:rsidRDefault="006A734E" w:rsidP="00E769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7. Для расчета прогнозируемого объема прочих доходов при разработке методики прогнозирования: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а) в части доходов от предоставления имущества, находящегося в муниципальной собственности, в аренду: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применяется метод прямого расчета;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арендаторами;</w:t>
      </w:r>
    </w:p>
    <w:p w:rsidR="006A734E" w:rsidRPr="006A734E" w:rsidRDefault="00E76967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б</w:t>
      </w:r>
      <w:r w:rsidR="006A734E" w:rsidRPr="006A734E">
        <w:rPr>
          <w:rFonts w:ascii="Times New Roman" w:hAnsi="Times New Roman" w:cs="Times New Roman"/>
          <w:b w:val="0"/>
          <w:sz w:val="28"/>
          <w:szCs w:val="28"/>
        </w:rPr>
        <w:t>) в части доходов от оказания платных услуг: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применяется метод прямого расчета;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местного самоуправления;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года;</w:t>
      </w:r>
    </w:p>
    <w:p w:rsidR="006A734E" w:rsidRPr="006A734E" w:rsidRDefault="00E76967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A734E" w:rsidRPr="006A734E">
        <w:rPr>
          <w:rFonts w:ascii="Times New Roman" w:hAnsi="Times New Roman" w:cs="Times New Roman"/>
          <w:b w:val="0"/>
          <w:sz w:val="28"/>
          <w:szCs w:val="28"/>
        </w:rPr>
        <w:t>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изъятия: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 w:rsidRPr="006A734E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6A734E">
        <w:rPr>
          <w:rFonts w:ascii="Times New Roman" w:hAnsi="Times New Roman" w:cs="Times New Roman"/>
          <w:b w:val="0"/>
          <w:sz w:val="28"/>
          <w:szCs w:val="28"/>
        </w:rPr>
        <w:t xml:space="preserve"> если фиксированный 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года;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период;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в остальных случаях применяется один из методов (комбинация методов), указанных в подпункте "в" пункта 3 настоящего документа.</w:t>
      </w:r>
    </w:p>
    <w:p w:rsidR="007E59F1" w:rsidRPr="00D2014D" w:rsidRDefault="006A734E" w:rsidP="007E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34E">
        <w:rPr>
          <w:rFonts w:ascii="Times New Roman" w:hAnsi="Times New Roman" w:cs="Times New Roman"/>
          <w:sz w:val="28"/>
          <w:szCs w:val="28"/>
        </w:rPr>
        <w:t xml:space="preserve">8.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</w:t>
      </w:r>
      <w:r w:rsidR="007E59F1" w:rsidRPr="00D2014D">
        <w:rPr>
          <w:rFonts w:ascii="Times New Roman" w:hAnsi="Times New Roman" w:cs="Times New Roman"/>
          <w:sz w:val="28"/>
          <w:szCs w:val="28"/>
        </w:rPr>
        <w:t xml:space="preserve">предварительного объема расходов бюджета городского </w:t>
      </w:r>
      <w:proofErr w:type="gramStart"/>
      <w:r w:rsidR="007E59F1"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E59F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7E59F1" w:rsidRPr="00D2014D">
        <w:rPr>
          <w:rFonts w:ascii="Times New Roman" w:hAnsi="Times New Roman" w:cs="Times New Roman"/>
          <w:sz w:val="28"/>
          <w:szCs w:val="28"/>
        </w:rPr>
        <w:t xml:space="preserve">, доведенного до главного распорядителя бюджетных средств </w:t>
      </w:r>
      <w:r w:rsidR="007E59F1">
        <w:rPr>
          <w:rFonts w:ascii="Times New Roman" w:hAnsi="Times New Roman" w:cs="Times New Roman"/>
          <w:sz w:val="28"/>
          <w:szCs w:val="28"/>
        </w:rPr>
        <w:t>ф</w:t>
      </w:r>
      <w:r w:rsidR="007E59F1" w:rsidRPr="00D2014D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7E59F1">
        <w:rPr>
          <w:rFonts w:ascii="Times New Roman" w:hAnsi="Times New Roman" w:cs="Times New Roman"/>
          <w:sz w:val="28"/>
          <w:szCs w:val="28"/>
        </w:rPr>
        <w:t>отделом</w:t>
      </w:r>
      <w:r w:rsidR="007E59F1" w:rsidRPr="00D2014D">
        <w:rPr>
          <w:rFonts w:ascii="Times New Roman" w:hAnsi="Times New Roman" w:cs="Times New Roman"/>
          <w:sz w:val="28"/>
          <w:szCs w:val="28"/>
        </w:rPr>
        <w:t xml:space="preserve"> </w:t>
      </w:r>
      <w:r w:rsidR="007E59F1">
        <w:rPr>
          <w:rFonts w:ascii="Times New Roman" w:hAnsi="Times New Roman" w:cs="Times New Roman"/>
          <w:sz w:val="28"/>
          <w:szCs w:val="28"/>
        </w:rPr>
        <w:t>а</w:t>
      </w:r>
      <w:r w:rsidR="007E59F1" w:rsidRPr="00D2014D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E59F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7E59F1" w:rsidRPr="00D2014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6A734E" w:rsidRPr="006A734E" w:rsidRDefault="006A734E" w:rsidP="00E769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В иных случаях прогнозирование может осуществляться в соответствии с положениями, предусмотренными пунктами 3 - 5 настоящего документа.</w:t>
      </w:r>
    </w:p>
    <w:p w:rsidR="006A734E" w:rsidRPr="006A734E" w:rsidRDefault="006A734E" w:rsidP="007E59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34E">
        <w:rPr>
          <w:rFonts w:ascii="Times New Roman" w:hAnsi="Times New Roman" w:cs="Times New Roman"/>
          <w:b w:val="0"/>
          <w:sz w:val="28"/>
          <w:szCs w:val="28"/>
        </w:rPr>
        <w:t>9. Разработка методики прогнозирования по видам доходов, не указанным в настоящем документе, осуществляется в соответствии с пунктами 3 - 5 настоящего документа.</w:t>
      </w:r>
    </w:p>
    <w:p w:rsidR="006A734E" w:rsidRPr="006A734E" w:rsidRDefault="006A734E" w:rsidP="006A7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0DDD" w:rsidRPr="00D2014D" w:rsidRDefault="00A90DDD" w:rsidP="00A90D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НЕНАЛОГОВЫЕ ДОХОДЫ</w:t>
      </w:r>
    </w:p>
    <w:p w:rsidR="00A90DDD" w:rsidRPr="00D2014D" w:rsidRDefault="00A90DDD" w:rsidP="00A90D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014D">
        <w:rPr>
          <w:rFonts w:ascii="Times New Roman" w:hAnsi="Times New Roman" w:cs="Times New Roman"/>
          <w:sz w:val="28"/>
          <w:szCs w:val="28"/>
        </w:rPr>
        <w:t>. ДОХОДЫ ОТ СДАЧИ В АРЕНДУ ИМУЩЕСТВА,</w:t>
      </w:r>
    </w:p>
    <w:p w:rsidR="00A90DDD" w:rsidRPr="00D2014D" w:rsidRDefault="00A90DDD" w:rsidP="00A90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014D">
        <w:rPr>
          <w:rFonts w:ascii="Times New Roman" w:hAnsi="Times New Roman" w:cs="Times New Roman"/>
          <w:sz w:val="28"/>
          <w:szCs w:val="28"/>
        </w:rPr>
        <w:t>СОСТАВЛЯЮЩЕГО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 xml:space="preserve"> ГОСУДАРСТВЕННУЮ (МУНИЦИПАЛЬНУЮ) КАЗНУ</w:t>
      </w:r>
    </w:p>
    <w:p w:rsidR="00A90DDD" w:rsidRPr="00D2014D" w:rsidRDefault="00A90DDD" w:rsidP="00A90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(ЗА ИСКЛЮЧЕНИЕМ ЗЕМЕЛЬНЫХ УЧАСТКОВ)</w:t>
      </w:r>
    </w:p>
    <w:p w:rsidR="00A90DDD" w:rsidRPr="00D2014D" w:rsidRDefault="00A90DDD" w:rsidP="00A90D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901 11105074040003120 </w:t>
      </w:r>
      <w:r w:rsidRPr="00A332E5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</w:t>
      </w:r>
      <w:r w:rsidRPr="00A332E5">
        <w:rPr>
          <w:rFonts w:ascii="Times New Roman" w:hAnsi="Times New Roman" w:cs="Times New Roman"/>
          <w:sz w:val="28"/>
          <w:szCs w:val="28"/>
        </w:rPr>
        <w:lastRenderedPageBreak/>
        <w:t>составляющего казну городских округов (за исключением земельных участков) (нежилой фонд)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DDD" w:rsidRPr="00A332E5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>Ожидаемый объем поступлений в доход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A332E5">
        <w:rPr>
          <w:rFonts w:ascii="Times New Roman" w:hAnsi="Times New Roman" w:cs="Times New Roman"/>
          <w:sz w:val="28"/>
          <w:szCs w:val="28"/>
        </w:rPr>
        <w:t xml:space="preserve"> по плате за пользование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332E5">
        <w:rPr>
          <w:rFonts w:ascii="Times New Roman" w:hAnsi="Times New Roman" w:cs="Times New Roman"/>
          <w:sz w:val="28"/>
          <w:szCs w:val="28"/>
        </w:rPr>
        <w:t>жилыми помещениями муниципального жилищного фонда (</w:t>
      </w:r>
      <w:proofErr w:type="spellStart"/>
      <w:r w:rsidRPr="00A332E5">
        <w:rPr>
          <w:rFonts w:ascii="Times New Roman" w:hAnsi="Times New Roman" w:cs="Times New Roman"/>
          <w:sz w:val="28"/>
          <w:szCs w:val="28"/>
        </w:rPr>
        <w:t>Дпл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еж</w:t>
      </w:r>
      <w:proofErr w:type="spellEnd"/>
      <w:r w:rsidRPr="00A332E5">
        <w:rPr>
          <w:rFonts w:ascii="Times New Roman" w:hAnsi="Times New Roman" w:cs="Times New Roman"/>
          <w:sz w:val="28"/>
          <w:szCs w:val="28"/>
        </w:rPr>
        <w:t>) прогнозируется методом прямого расчета, также может применяться метод экспертной оценки. Для метода прямого расчета применяются следующие показатели:</w:t>
      </w:r>
    </w:p>
    <w:p w:rsidR="00A90DDD" w:rsidRPr="00A332E5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 xml:space="preserve">- площадь </w:t>
      </w:r>
      <w:r>
        <w:rPr>
          <w:rFonts w:ascii="Times New Roman" w:hAnsi="Times New Roman" w:cs="Times New Roman"/>
          <w:sz w:val="28"/>
          <w:szCs w:val="28"/>
        </w:rPr>
        <w:t>нежилых помещений</w:t>
      </w:r>
      <w:r w:rsidRPr="00A332E5">
        <w:rPr>
          <w:rFonts w:ascii="Times New Roman" w:hAnsi="Times New Roman" w:cs="Times New Roman"/>
          <w:sz w:val="28"/>
          <w:szCs w:val="28"/>
        </w:rPr>
        <w:t>, за которую взимается плата за наем (</w:t>
      </w:r>
      <w:proofErr w:type="spellStart"/>
      <w:r w:rsidRPr="00A332E5">
        <w:rPr>
          <w:rFonts w:ascii="Times New Roman" w:hAnsi="Times New Roman" w:cs="Times New Roman"/>
          <w:sz w:val="28"/>
          <w:szCs w:val="28"/>
        </w:rPr>
        <w:t>Sм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r w:rsidRPr="00A332E5">
        <w:rPr>
          <w:rFonts w:ascii="Times New Roman" w:hAnsi="Times New Roman" w:cs="Times New Roman"/>
          <w:sz w:val="28"/>
          <w:szCs w:val="28"/>
        </w:rPr>
        <w:t>жил.ф</w:t>
      </w:r>
      <w:proofErr w:type="spellEnd"/>
      <w:r w:rsidRPr="00A332E5">
        <w:rPr>
          <w:rFonts w:ascii="Times New Roman" w:hAnsi="Times New Roman" w:cs="Times New Roman"/>
          <w:sz w:val="28"/>
          <w:szCs w:val="28"/>
        </w:rPr>
        <w:t>);</w:t>
      </w: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 xml:space="preserve">- ставка платы за квадратный метр </w:t>
      </w:r>
      <w:r>
        <w:rPr>
          <w:rFonts w:ascii="Times New Roman" w:hAnsi="Times New Roman" w:cs="Times New Roman"/>
          <w:sz w:val="28"/>
          <w:szCs w:val="28"/>
        </w:rPr>
        <w:t xml:space="preserve">нежилого помещения </w:t>
      </w:r>
      <w:r w:rsidRPr="00A332E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фонда, утвержденная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2E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A332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332E5">
        <w:rPr>
          <w:rFonts w:ascii="Times New Roman" w:hAnsi="Times New Roman" w:cs="Times New Roman"/>
          <w:sz w:val="28"/>
          <w:szCs w:val="28"/>
        </w:rPr>
        <w:t xml:space="preserve">) с учетом планируемого изменения ставки платы за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A332E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Дпл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еж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Sм.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2014D">
        <w:rPr>
          <w:rFonts w:ascii="Times New Roman" w:hAnsi="Times New Roman" w:cs="Times New Roman"/>
          <w:sz w:val="28"/>
          <w:szCs w:val="28"/>
        </w:rPr>
        <w:t>жил.ф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>. x СТ</w:t>
      </w: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Метод экспертной оценки по доходам от сдачи в аренду имущества, составляющего казну городских округов (за исключением земельных участков) основывается на предполагаемых возможных поступлениях в доход бюджета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 xml:space="preserve"> данного доходного источника в очередном финансовом году.</w:t>
      </w: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11105074040004120 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наем) муниципального жилищного фонда городских округов).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Ожидаемый объем поступлений в доход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 xml:space="preserve"> по плате за пользование жилыми помещениями (плата за наем) муниципального жилищного фонда (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Дпл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аем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>) прогнозируется методом прямого расчета, также может применяться метод экспертной оценки. Для метода прямого расчета применяются следующие показатели: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- площадь муниципального жилищного фонда, за которую взимается плата за наем (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Sм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ил.ф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>);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- ставка платы за наем (за квадратный метр) муниципального жилищного фонда, утвержденная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14D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D201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) с учетом планируемого изменения ставки платы за наем на очередной финансовый год;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- коэффициент собираемости (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Ксобир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>).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Коэффициент собираемости рассчитывается исходя из анализа начисленных поступлений за последние три отчетных периода и фактических поступлений за соответствующие периоды. Прогнозируемые поступления могут быть скорректированы в сторону увеличения на сумму задолженности, сформировавшуюся на последнюю отчетную дату.</w:t>
      </w:r>
    </w:p>
    <w:p w:rsidR="00A90DDD" w:rsidRPr="00D2014D" w:rsidRDefault="00A90DDD" w:rsidP="00A90D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Дпл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аем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Sм.жил.ф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. x СТ x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Ксобир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>.</w:t>
      </w:r>
    </w:p>
    <w:p w:rsidR="00A90DDD" w:rsidRPr="00D2014D" w:rsidRDefault="00A90DDD" w:rsidP="00A90D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Метод экспертной оценки по доходам от сдачи в аренду имущества, составляющего казну городских округов (за исключением земельных </w:t>
      </w:r>
      <w:r w:rsidRPr="00D2014D">
        <w:rPr>
          <w:rFonts w:ascii="Times New Roman" w:hAnsi="Times New Roman" w:cs="Times New Roman"/>
          <w:sz w:val="28"/>
          <w:szCs w:val="28"/>
        </w:rPr>
        <w:lastRenderedPageBreak/>
        <w:t xml:space="preserve">участков) основывается на предполагаемых возможных поступлениях в доход бюджета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 xml:space="preserve"> данного доходного источника в очередном финансовом году.</w:t>
      </w: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901 11105074040009</w:t>
      </w:r>
      <w:r w:rsidRPr="00D2014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44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городских округов (за исключением земельных участков) (гаражи)</w:t>
      </w:r>
    </w:p>
    <w:p w:rsidR="00A90DDD" w:rsidRPr="00A332E5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>Ожидаемый объем поступлений в доход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A332E5">
        <w:rPr>
          <w:rFonts w:ascii="Times New Roman" w:hAnsi="Times New Roman" w:cs="Times New Roman"/>
          <w:sz w:val="28"/>
          <w:szCs w:val="28"/>
        </w:rPr>
        <w:t xml:space="preserve"> по плате за пользование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3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  <w:r w:rsidRPr="00A3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(гаражами) </w:t>
      </w:r>
      <w:r w:rsidRPr="00A33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32E5">
        <w:rPr>
          <w:rFonts w:ascii="Times New Roman" w:hAnsi="Times New Roman" w:cs="Times New Roman"/>
          <w:sz w:val="28"/>
          <w:szCs w:val="28"/>
        </w:rPr>
        <w:t>Дпл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A332E5">
        <w:rPr>
          <w:rFonts w:ascii="Times New Roman" w:hAnsi="Times New Roman" w:cs="Times New Roman"/>
          <w:sz w:val="28"/>
          <w:szCs w:val="28"/>
        </w:rPr>
        <w:t>) прогнозируется методом прямого расчета, также может применяться метод экспертной оценки. Для метода прямого расчета применяются следующие показатели:</w:t>
      </w:r>
    </w:p>
    <w:p w:rsidR="00A90DDD" w:rsidRPr="00A332E5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 xml:space="preserve">- площадь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(гаражей)</w:t>
      </w:r>
      <w:r w:rsidRPr="00A332E5">
        <w:rPr>
          <w:rFonts w:ascii="Times New Roman" w:hAnsi="Times New Roman" w:cs="Times New Roman"/>
          <w:sz w:val="28"/>
          <w:szCs w:val="28"/>
        </w:rPr>
        <w:t xml:space="preserve">, за которую взимается плата за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A332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32E5">
        <w:rPr>
          <w:rFonts w:ascii="Times New Roman" w:hAnsi="Times New Roman" w:cs="Times New Roman"/>
          <w:sz w:val="28"/>
          <w:szCs w:val="28"/>
        </w:rPr>
        <w:t>Sм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A332E5">
        <w:rPr>
          <w:rFonts w:ascii="Times New Roman" w:hAnsi="Times New Roman" w:cs="Times New Roman"/>
          <w:sz w:val="28"/>
          <w:szCs w:val="28"/>
        </w:rPr>
        <w:t>);</w:t>
      </w: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 xml:space="preserve">- ставка платы за квадратный метр 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A332E5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2E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A332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332E5">
        <w:rPr>
          <w:rFonts w:ascii="Times New Roman" w:hAnsi="Times New Roman" w:cs="Times New Roman"/>
          <w:sz w:val="28"/>
          <w:szCs w:val="28"/>
        </w:rPr>
        <w:t xml:space="preserve">) с учетом планируемого изменения ставки платы за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A332E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Дпл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Sм.</w:t>
      </w:r>
      <w:r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x СТ</w:t>
      </w: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Метод экспертной оценки по доходам от сдачи в аренду имущества, составляющего казну городских округов (за исключением земельных участков) основывается на предполагаемых возможных поступлениях в доход бюджета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 xml:space="preserve"> данного доходного источника в очередном финансовом году.</w:t>
      </w: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901 11105074040010</w:t>
      </w:r>
      <w:r w:rsidRPr="00D2014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44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городских округов (за исключением земельных участков) (</w:t>
      </w:r>
      <w:r>
        <w:rPr>
          <w:rFonts w:ascii="Times New Roman" w:hAnsi="Times New Roman" w:cs="Times New Roman"/>
          <w:sz w:val="28"/>
          <w:szCs w:val="28"/>
        </w:rPr>
        <w:t>движимое имущество</w:t>
      </w:r>
      <w:r w:rsidRPr="00FD0944">
        <w:rPr>
          <w:rFonts w:ascii="Times New Roman" w:hAnsi="Times New Roman" w:cs="Times New Roman"/>
          <w:sz w:val="28"/>
          <w:szCs w:val="28"/>
        </w:rPr>
        <w:t>)</w:t>
      </w:r>
    </w:p>
    <w:p w:rsidR="00A90DDD" w:rsidRPr="00A332E5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>Ожидаемый объем поступлений в доход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A332E5">
        <w:rPr>
          <w:rFonts w:ascii="Times New Roman" w:hAnsi="Times New Roman" w:cs="Times New Roman"/>
          <w:sz w:val="28"/>
          <w:szCs w:val="28"/>
        </w:rPr>
        <w:t xml:space="preserve"> по плате за пользование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3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  <w:r w:rsidRPr="00A3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(движимым имуществом) </w:t>
      </w:r>
      <w:r w:rsidRPr="00A33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32E5">
        <w:rPr>
          <w:rFonts w:ascii="Times New Roman" w:hAnsi="Times New Roman" w:cs="Times New Roman"/>
          <w:sz w:val="28"/>
          <w:szCs w:val="28"/>
        </w:rPr>
        <w:t>Дпл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виж.им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332E5">
        <w:rPr>
          <w:rFonts w:ascii="Times New Roman" w:hAnsi="Times New Roman" w:cs="Times New Roman"/>
          <w:sz w:val="28"/>
          <w:szCs w:val="28"/>
        </w:rPr>
        <w:t>) прогнозируется методом прямого расчета, также может применяться метод экспертной оценки. Для метода прямого расчета применяются следующие показатели:</w:t>
      </w:r>
    </w:p>
    <w:p w:rsidR="00A90DDD" w:rsidRPr="00A332E5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 xml:space="preserve">- площадь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(движимого имущества)</w:t>
      </w:r>
      <w:r w:rsidRPr="00A332E5">
        <w:rPr>
          <w:rFonts w:ascii="Times New Roman" w:hAnsi="Times New Roman" w:cs="Times New Roman"/>
          <w:sz w:val="28"/>
          <w:szCs w:val="28"/>
        </w:rPr>
        <w:t xml:space="preserve">, за которую взимается плата за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A332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32E5">
        <w:rPr>
          <w:rFonts w:ascii="Times New Roman" w:hAnsi="Times New Roman" w:cs="Times New Roman"/>
          <w:sz w:val="28"/>
          <w:szCs w:val="28"/>
        </w:rPr>
        <w:t>Sм</w:t>
      </w:r>
      <w:proofErr w:type="spellEnd"/>
      <w:r w:rsidRPr="00A332E5">
        <w:rPr>
          <w:rFonts w:ascii="Times New Roman" w:hAnsi="Times New Roman" w:cs="Times New Roman"/>
          <w:sz w:val="28"/>
          <w:szCs w:val="28"/>
        </w:rPr>
        <w:t>.</w:t>
      </w:r>
      <w:r w:rsidRPr="00FD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движ.им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A332E5">
        <w:rPr>
          <w:rFonts w:ascii="Times New Roman" w:hAnsi="Times New Roman" w:cs="Times New Roman"/>
          <w:sz w:val="28"/>
          <w:szCs w:val="28"/>
        </w:rPr>
        <w:t>);</w:t>
      </w: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 xml:space="preserve">- ставка платы за квадратный метр 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A332E5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2E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A332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332E5">
        <w:rPr>
          <w:rFonts w:ascii="Times New Roman" w:hAnsi="Times New Roman" w:cs="Times New Roman"/>
          <w:sz w:val="28"/>
          <w:szCs w:val="28"/>
        </w:rPr>
        <w:t xml:space="preserve">) с учетом планируемого изменения ставки платы за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A332E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Дпл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D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движ.им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Sм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виж.им.</w:t>
      </w:r>
      <w:r w:rsidRPr="00D2014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СТ</w:t>
      </w: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Метод экспертной оценки по доходам от сдачи в аренду имущества, составляющего казну городских округов (за исключением земельных участков) основывается на предполагаемых возможных поступлениях в доход бюджета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 xml:space="preserve"> данного доходного источника в очередном финансовом году.</w:t>
      </w: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014D">
        <w:rPr>
          <w:rFonts w:ascii="Times New Roman" w:hAnsi="Times New Roman" w:cs="Times New Roman"/>
          <w:sz w:val="28"/>
          <w:szCs w:val="28"/>
        </w:rPr>
        <w:t>. ПРОЧИЕ ДОХОДЫ ОТ ОКАЗАНИЯ ПЛАТНЫХ УСЛУГ (РАБОТ)</w:t>
      </w:r>
    </w:p>
    <w:p w:rsidR="00A90DDD" w:rsidRPr="00D2014D" w:rsidRDefault="00A90DDD" w:rsidP="00A90D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901 11301994040004130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рочие доходы от оказания платных услуг (работ) получателями средств бюджетов городских округов (прочие доходы от оказания платных услуг (работ)).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Прогноз поступлений в доход бюджета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D2014D">
        <w:rPr>
          <w:rFonts w:ascii="Times New Roman" w:hAnsi="Times New Roman" w:cs="Times New Roman"/>
          <w:sz w:val="28"/>
          <w:szCs w:val="28"/>
        </w:rPr>
        <w:t>прочих доходов от оказания платных услуг (работ) получателями средств бюджетов городских округов (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Дпр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>.) прогнозируется методом анализа фактических поступлений, а также методом экспертной оценки.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Метод фактических поступлений основывается на данных о фактических поступлениях по данному доходному источнику в бюджет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D2014D">
        <w:rPr>
          <w:rFonts w:ascii="Times New Roman" w:hAnsi="Times New Roman" w:cs="Times New Roman"/>
          <w:sz w:val="28"/>
          <w:szCs w:val="28"/>
        </w:rPr>
        <w:t>за последние три отчетных периода. 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поступлений за применяемые периоды, а также коэффициент-дефлятор, соответствующий прогнозируемому росту инфляции на очередной финансовый год. Коэффициент-дефлятор применяется в соответствии с федеральным законодательством, законодательством Свердловской области.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Метод экспертной оценки прочих доходов от оказания платных услуг (работ) получателями средств бюджетов городских округов 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в связи с тем, что прочие доходы от оказания платных услуг (работ) не являются платежами, которые носят регулярный характер.</w:t>
      </w:r>
    </w:p>
    <w:p w:rsidR="00A90DDD" w:rsidRPr="00D2014D" w:rsidRDefault="00A90DDD" w:rsidP="00A90D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14D">
        <w:rPr>
          <w:rFonts w:ascii="Times New Roman" w:hAnsi="Times New Roman" w:cs="Times New Roman"/>
          <w:sz w:val="28"/>
          <w:szCs w:val="28"/>
        </w:rPr>
        <w:t>. ПРОЧИЕ ДОХОДЫ ОТ КОМПЕНСАЦИИ ЗАТРАТ ГОСУДАРСТВА</w:t>
      </w:r>
    </w:p>
    <w:p w:rsidR="00A90DDD" w:rsidRPr="00D2014D" w:rsidRDefault="00A90DDD" w:rsidP="00A90D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901 11302994040001130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городских округов (в части возврата дебиторской задолженности прошлых лет).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901 11302994040003130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городских округов (прочие доходы).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городских округов 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Метод экспертной оценки прочих доходов от компенсации затрат бюджетов городских округов 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A90DDD" w:rsidRPr="00D2014D" w:rsidRDefault="00A90DDD" w:rsidP="00A90D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14D">
        <w:rPr>
          <w:rFonts w:ascii="Times New Roman" w:hAnsi="Times New Roman" w:cs="Times New Roman"/>
          <w:sz w:val="28"/>
          <w:szCs w:val="28"/>
        </w:rPr>
        <w:t>. ШТРАФЫ, САНКЦИИ, ВОЗМЕЩЕНИЕ УЩЕРБА</w:t>
      </w:r>
    </w:p>
    <w:p w:rsidR="00A90DDD" w:rsidRPr="00D2014D" w:rsidRDefault="00A90DDD" w:rsidP="00A90D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11618040040000140 Денежные взыскания (штрафы) за нарушение бюджетного законодательства (в части бюджетов городских округов);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lastRenderedPageBreak/>
        <w:t>901 11623041040000140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округов;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11623042040000140 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округов;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11632000040000140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округов);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11651020020000140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округов;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901 11690040040000140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округов.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Прогноз поступлений в доход местного бюджета по штрафным санкциям, зачисляемым в бюджет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>, прогнозируется методом анализа фактических поступлений, а также методом экспертной оценки.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Метод фактических поступлений основывается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на данных о фактических поступлениях по данному доходному источнику в местный бюджет за последние три отчетных периода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. 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поступлений за применяемые периоды, а также коэффициент-дефлятор, соответствующий прогнозируемому росту инфляции на очередной финансовый год. Коэффициент-дефлятор применяется в соответствии с федеральным законодательством, законодательством Свердловской области.</w:t>
      </w: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Метод экспертной оценки по штрафным санкциям, зачисляемым в бюджет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D2014D">
        <w:rPr>
          <w:rFonts w:ascii="Times New Roman" w:hAnsi="Times New Roman" w:cs="Times New Roman"/>
          <w:sz w:val="28"/>
          <w:szCs w:val="28"/>
        </w:rPr>
        <w:t>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к тем денежным взысканиям (штрафам), которые носили разовый характер.</w:t>
      </w:r>
    </w:p>
    <w:p w:rsidR="00A90DDD" w:rsidRPr="00D2014D" w:rsidRDefault="00A90DDD" w:rsidP="00A90D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БЕЗВОЗМЕЗДНЫЕ ПОСТУПЛЕНИЯ</w:t>
      </w:r>
    </w:p>
    <w:p w:rsidR="00A90DDD" w:rsidRPr="00D2014D" w:rsidRDefault="00A90DDD" w:rsidP="00A90D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014D">
        <w:rPr>
          <w:rFonts w:ascii="Times New Roman" w:hAnsi="Times New Roman" w:cs="Times New Roman"/>
          <w:sz w:val="28"/>
          <w:szCs w:val="28"/>
        </w:rPr>
        <w:t>. БЕЗВОЗМЕЗДНЫЕ ПОСТУПЛЕНИЯ В ВИДЕ СУБСИДИЙ, СУБВЕНЦИЙ И ПРОЧИХ МЕЖБЮДЖЕТНЫХ ТРАНСФЕРТОВ, ПЕРЕДАВАЕМЫХ В БЮДЖЕТЫ ГОРОДСКИХ ОКРУГОВ.</w:t>
      </w:r>
    </w:p>
    <w:p w:rsidR="00A90DD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DDD" w:rsidRPr="00D2014D" w:rsidRDefault="00A90DDD" w:rsidP="00A90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Ожидаемый объем безвозмездных поступлений в бюджет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D2014D">
        <w:rPr>
          <w:rFonts w:ascii="Times New Roman" w:hAnsi="Times New Roman" w:cs="Times New Roman"/>
          <w:sz w:val="28"/>
          <w:szCs w:val="28"/>
        </w:rPr>
        <w:t>в виде субсидий, субвенций и прочих межбюджетных трансфертов определяется на основании предварительного объема расходов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 xml:space="preserve">, доведенного до главного распорядителя бюджетных средств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2014D">
        <w:rPr>
          <w:rFonts w:ascii="Times New Roman" w:hAnsi="Times New Roman" w:cs="Times New Roman"/>
          <w:sz w:val="28"/>
          <w:szCs w:val="28"/>
        </w:rPr>
        <w:t xml:space="preserve">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D20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14D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Pr="00D2014D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период.</w:t>
      </w:r>
    </w:p>
    <w:p w:rsidR="00A90DDD" w:rsidRPr="00D2014D" w:rsidRDefault="00A90DDD" w:rsidP="00A90D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F4E" w:rsidRPr="00D2014D" w:rsidRDefault="00C06F4E" w:rsidP="006A73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C06F4E" w:rsidRPr="00D2014D" w:rsidSect="002F7EA7">
      <w:pgSz w:w="11906" w:h="16838"/>
      <w:pgMar w:top="426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764"/>
    <w:multiLevelType w:val="hybridMultilevel"/>
    <w:tmpl w:val="7606425A"/>
    <w:lvl w:ilvl="0" w:tplc="D0CA569E">
      <w:start w:val="1"/>
      <w:numFmt w:val="decimal"/>
      <w:lvlText w:val="%1."/>
      <w:lvlJc w:val="left"/>
      <w:pPr>
        <w:ind w:left="348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4" w:hanging="360"/>
      </w:pPr>
    </w:lvl>
    <w:lvl w:ilvl="2" w:tplc="0419001B" w:tentative="1">
      <w:start w:val="1"/>
      <w:numFmt w:val="lowerRoman"/>
      <w:lvlText w:val="%3."/>
      <w:lvlJc w:val="right"/>
      <w:pPr>
        <w:ind w:left="4464" w:hanging="180"/>
      </w:pPr>
    </w:lvl>
    <w:lvl w:ilvl="3" w:tplc="0419000F" w:tentative="1">
      <w:start w:val="1"/>
      <w:numFmt w:val="decimal"/>
      <w:lvlText w:val="%4."/>
      <w:lvlJc w:val="left"/>
      <w:pPr>
        <w:ind w:left="5184" w:hanging="360"/>
      </w:pPr>
    </w:lvl>
    <w:lvl w:ilvl="4" w:tplc="04190019" w:tentative="1">
      <w:start w:val="1"/>
      <w:numFmt w:val="lowerLetter"/>
      <w:lvlText w:val="%5."/>
      <w:lvlJc w:val="left"/>
      <w:pPr>
        <w:ind w:left="5904" w:hanging="360"/>
      </w:pPr>
    </w:lvl>
    <w:lvl w:ilvl="5" w:tplc="0419001B" w:tentative="1">
      <w:start w:val="1"/>
      <w:numFmt w:val="lowerRoman"/>
      <w:lvlText w:val="%6."/>
      <w:lvlJc w:val="right"/>
      <w:pPr>
        <w:ind w:left="6624" w:hanging="180"/>
      </w:pPr>
    </w:lvl>
    <w:lvl w:ilvl="6" w:tplc="0419000F" w:tentative="1">
      <w:start w:val="1"/>
      <w:numFmt w:val="decimal"/>
      <w:lvlText w:val="%7."/>
      <w:lvlJc w:val="left"/>
      <w:pPr>
        <w:ind w:left="7344" w:hanging="360"/>
      </w:pPr>
    </w:lvl>
    <w:lvl w:ilvl="7" w:tplc="04190019" w:tentative="1">
      <w:start w:val="1"/>
      <w:numFmt w:val="lowerLetter"/>
      <w:lvlText w:val="%8."/>
      <w:lvlJc w:val="left"/>
      <w:pPr>
        <w:ind w:left="8064" w:hanging="360"/>
      </w:pPr>
    </w:lvl>
    <w:lvl w:ilvl="8" w:tplc="041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1">
    <w:nsid w:val="7A78115C"/>
    <w:multiLevelType w:val="multilevel"/>
    <w:tmpl w:val="187223B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4E"/>
    <w:rsid w:val="002F7EA7"/>
    <w:rsid w:val="005A587C"/>
    <w:rsid w:val="006A734E"/>
    <w:rsid w:val="006E2273"/>
    <w:rsid w:val="0074272F"/>
    <w:rsid w:val="00746BB1"/>
    <w:rsid w:val="007E59F1"/>
    <w:rsid w:val="008627AE"/>
    <w:rsid w:val="008F5EAF"/>
    <w:rsid w:val="00A332E5"/>
    <w:rsid w:val="00A90DDD"/>
    <w:rsid w:val="00AF4559"/>
    <w:rsid w:val="00B400F5"/>
    <w:rsid w:val="00C06F4E"/>
    <w:rsid w:val="00CB62A3"/>
    <w:rsid w:val="00D2014D"/>
    <w:rsid w:val="00D36809"/>
    <w:rsid w:val="00DE68B2"/>
    <w:rsid w:val="00E05C0B"/>
    <w:rsid w:val="00E76967"/>
    <w:rsid w:val="00ED327F"/>
    <w:rsid w:val="00ED6426"/>
    <w:rsid w:val="00FD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2017-05-29T06:23:00Z</cp:lastPrinted>
  <dcterms:created xsi:type="dcterms:W3CDTF">2017-06-07T03:22:00Z</dcterms:created>
  <dcterms:modified xsi:type="dcterms:W3CDTF">2017-06-07T03:22:00Z</dcterms:modified>
</cp:coreProperties>
</file>